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7E" w:rsidRDefault="00E41B7E" w:rsidP="00DF0268">
      <w:pPr>
        <w:pStyle w:val="40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Інформація</w:t>
      </w:r>
    </w:p>
    <w:p w:rsidR="00E41B7E" w:rsidRDefault="00E41B7E" w:rsidP="00DF0268">
      <w:pPr>
        <w:pStyle w:val="40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про стан виконання </w:t>
      </w:r>
      <w:r w:rsidRPr="00841424">
        <w:rPr>
          <w:sz w:val="28"/>
          <w:szCs w:val="28"/>
        </w:rPr>
        <w:t>Програми розвитку та фінансової підтримки комунального некомерційного</w:t>
      </w:r>
      <w:r>
        <w:rPr>
          <w:sz w:val="28"/>
          <w:szCs w:val="28"/>
        </w:rPr>
        <w:t xml:space="preserve"> </w:t>
      </w:r>
      <w:r w:rsidRPr="00841424">
        <w:rPr>
          <w:sz w:val="28"/>
          <w:szCs w:val="28"/>
        </w:rPr>
        <w:t>підприємст</w:t>
      </w:r>
      <w:r>
        <w:rPr>
          <w:sz w:val="28"/>
          <w:szCs w:val="28"/>
        </w:rPr>
        <w:t>ва</w:t>
      </w:r>
    </w:p>
    <w:p w:rsidR="00E41B7E" w:rsidRDefault="00E41B7E" w:rsidP="00DF0268">
      <w:pPr>
        <w:pStyle w:val="40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Кропивницької районної ради</w:t>
      </w:r>
    </w:p>
    <w:p w:rsidR="00E41B7E" w:rsidRDefault="00E41B7E" w:rsidP="00DF0268">
      <w:pPr>
        <w:pStyle w:val="40"/>
        <w:shd w:val="clear" w:color="auto" w:fill="auto"/>
        <w:spacing w:line="240" w:lineRule="auto"/>
        <w:ind w:right="20" w:firstLine="709"/>
        <w:rPr>
          <w:sz w:val="28"/>
          <w:szCs w:val="28"/>
        </w:rPr>
      </w:pPr>
      <w:r w:rsidRPr="00841424">
        <w:rPr>
          <w:sz w:val="28"/>
          <w:szCs w:val="28"/>
        </w:rPr>
        <w:t>«Кропивницьк</w:t>
      </w:r>
      <w:r>
        <w:rPr>
          <w:sz w:val="28"/>
          <w:szCs w:val="28"/>
        </w:rPr>
        <w:t>а центральна районна лікарня» за</w:t>
      </w:r>
      <w:r w:rsidRPr="00841424">
        <w:rPr>
          <w:sz w:val="28"/>
          <w:szCs w:val="28"/>
        </w:rPr>
        <w:t xml:space="preserve"> 202</w:t>
      </w:r>
      <w:r w:rsidRPr="00DF0268">
        <w:rPr>
          <w:sz w:val="28"/>
          <w:szCs w:val="28"/>
          <w:lang w:val="ru-RU"/>
        </w:rPr>
        <w:t>4</w:t>
      </w:r>
      <w:r w:rsidRPr="00841424">
        <w:rPr>
          <w:sz w:val="28"/>
          <w:szCs w:val="28"/>
        </w:rPr>
        <w:t xml:space="preserve"> рік</w:t>
      </w:r>
    </w:p>
    <w:p w:rsidR="00E41B7E" w:rsidRDefault="00E41B7E" w:rsidP="00DF0268">
      <w:pPr>
        <w:pStyle w:val="40"/>
        <w:shd w:val="clear" w:color="auto" w:fill="auto"/>
        <w:spacing w:line="240" w:lineRule="auto"/>
        <w:ind w:right="20" w:firstLine="709"/>
        <w:rPr>
          <w:sz w:val="28"/>
          <w:szCs w:val="28"/>
        </w:rPr>
      </w:pPr>
    </w:p>
    <w:p w:rsidR="00E41B7E" w:rsidRPr="00E344E3" w:rsidRDefault="00E41B7E" w:rsidP="00974F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Програма розвитку та фінансової підтримки комунального некомерційного підприємства Кропивницької районної ради «Центральна районна лікарня» шляхом</w:t>
      </w:r>
      <w:r w:rsidRPr="00E344E3">
        <w:rPr>
          <w:rFonts w:ascii="Times New Roman" w:hAnsi="Times New Roman" w:cs="Times New Roman"/>
          <w:sz w:val="28"/>
          <w:szCs w:val="28"/>
        </w:rPr>
        <w:t xml:space="preserve"> об’єднання зусиль органів місцевого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самоврядування, виконавчої влади, керівників підприємств, установ, організацій,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 xml:space="preserve">що здійснюють діяльність на території </w:t>
      </w:r>
      <w:r>
        <w:rPr>
          <w:rFonts w:ascii="Times New Roman" w:hAnsi="Times New Roman" w:cs="Times New Roman"/>
          <w:sz w:val="28"/>
          <w:szCs w:val="28"/>
        </w:rPr>
        <w:t xml:space="preserve">Кропивницького </w:t>
      </w:r>
      <w:r w:rsidRPr="00E344E3">
        <w:rPr>
          <w:rFonts w:ascii="Times New Roman" w:hAnsi="Times New Roman" w:cs="Times New Roman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sz w:val="28"/>
          <w:szCs w:val="28"/>
        </w:rPr>
        <w:t>забезпечила виконання наступних заходів</w:t>
      </w:r>
      <w:r w:rsidRPr="00E344E3">
        <w:rPr>
          <w:rFonts w:ascii="Times New Roman" w:hAnsi="Times New Roman" w:cs="Times New Roman"/>
          <w:sz w:val="28"/>
          <w:szCs w:val="28"/>
        </w:rPr>
        <w:t>:</w:t>
      </w:r>
    </w:p>
    <w:p w:rsidR="00E41B7E" w:rsidRPr="00E344E3" w:rsidRDefault="00E41B7E" w:rsidP="00974F3A">
      <w:pPr>
        <w:numPr>
          <w:ilvl w:val="0"/>
          <w:numId w:val="1"/>
        </w:numPr>
        <w:tabs>
          <w:tab w:val="left" w:pos="8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забезпечення виплати заробітної плати та нарахувань на неї в повному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обсязі;</w:t>
      </w:r>
    </w:p>
    <w:p w:rsidR="00E41B7E" w:rsidRPr="00E344E3" w:rsidRDefault="00E41B7E" w:rsidP="00974F3A">
      <w:pPr>
        <w:numPr>
          <w:ilvl w:val="0"/>
          <w:numId w:val="1"/>
        </w:numPr>
        <w:tabs>
          <w:tab w:val="left" w:pos="8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придбання предметів, матеріалів, обладнання та інвентарю для потреб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підприємства;</w:t>
      </w:r>
    </w:p>
    <w:p w:rsidR="00E41B7E" w:rsidRPr="00E344E3" w:rsidRDefault="00E41B7E" w:rsidP="00974F3A">
      <w:pPr>
        <w:numPr>
          <w:ilvl w:val="0"/>
          <w:numId w:val="1"/>
        </w:num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забезпечення продуктами харчування пацієнтів стаціонарних відділень;</w:t>
      </w:r>
    </w:p>
    <w:p w:rsidR="00E41B7E" w:rsidRPr="00E344E3" w:rsidRDefault="00E41B7E" w:rsidP="00974F3A">
      <w:pPr>
        <w:numPr>
          <w:ilvl w:val="0"/>
          <w:numId w:val="1"/>
        </w:num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оплати послуг, в тому числі комунальних послуг та енергоносіїв;</w:t>
      </w:r>
    </w:p>
    <w:p w:rsidR="00E41B7E" w:rsidRPr="00E344E3" w:rsidRDefault="00E41B7E" w:rsidP="00974F3A">
      <w:pPr>
        <w:numPr>
          <w:ilvl w:val="0"/>
          <w:numId w:val="1"/>
        </w:numPr>
        <w:tabs>
          <w:tab w:val="left" w:pos="8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оплати видатків на відрядження, з метою підвищення рівня кваліфікації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персоналу;</w:t>
      </w:r>
    </w:p>
    <w:p w:rsidR="00E41B7E" w:rsidRPr="006E1DAE" w:rsidRDefault="00E41B7E" w:rsidP="00974F3A">
      <w:pPr>
        <w:numPr>
          <w:ilvl w:val="0"/>
          <w:numId w:val="1"/>
        </w:numPr>
        <w:tabs>
          <w:tab w:val="left" w:pos="8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забезпечення проведення інших виплат населенню, а саме відшкодування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вартості витрат, пов’язаних з відпуском лікарських засобів за рецептами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безкоштовно і на пільгових умовах громадянам, які мають право згідно чинного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4E3">
        <w:rPr>
          <w:rFonts w:ascii="Times New Roman" w:hAnsi="Times New Roman" w:cs="Times New Roman"/>
          <w:sz w:val="28"/>
          <w:szCs w:val="28"/>
        </w:rPr>
        <w:t>законодавства;</w:t>
      </w:r>
    </w:p>
    <w:p w:rsidR="00E41B7E" w:rsidRPr="00E344E3" w:rsidRDefault="00E41B7E" w:rsidP="00974F3A">
      <w:pPr>
        <w:numPr>
          <w:ilvl w:val="0"/>
          <w:numId w:val="1"/>
        </w:num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здійснення оплати інших поточних видатків;</w:t>
      </w:r>
    </w:p>
    <w:p w:rsidR="00E41B7E" w:rsidRPr="00E344E3" w:rsidRDefault="00E41B7E" w:rsidP="00974F3A">
      <w:pPr>
        <w:numPr>
          <w:ilvl w:val="0"/>
          <w:numId w:val="1"/>
        </w:num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>придбання обладнання і предметів довгострокового користування;</w:t>
      </w:r>
    </w:p>
    <w:p w:rsidR="00E41B7E" w:rsidRDefault="00E41B7E" w:rsidP="003D263F">
      <w:pPr>
        <w:numPr>
          <w:ilvl w:val="0"/>
          <w:numId w:val="1"/>
        </w:num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4E3">
        <w:rPr>
          <w:rFonts w:ascii="Times New Roman" w:hAnsi="Times New Roman" w:cs="Times New Roman"/>
          <w:sz w:val="28"/>
          <w:szCs w:val="28"/>
        </w:rPr>
        <w:t xml:space="preserve">проведення капітальних ремонтів </w:t>
      </w:r>
      <w:r>
        <w:rPr>
          <w:rFonts w:ascii="Times New Roman" w:hAnsi="Times New Roman" w:cs="Times New Roman"/>
          <w:sz w:val="28"/>
          <w:szCs w:val="28"/>
        </w:rPr>
        <w:t>та реконструкцій згідно потреби;</w:t>
      </w:r>
    </w:p>
    <w:p w:rsidR="00E41B7E" w:rsidRDefault="00E41B7E" w:rsidP="003D263F">
      <w:pPr>
        <w:numPr>
          <w:ilvl w:val="0"/>
          <w:numId w:val="1"/>
        </w:num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3F">
        <w:rPr>
          <w:rFonts w:ascii="Times New Roman" w:hAnsi="Times New Roman" w:cs="Times New Roman"/>
          <w:sz w:val="28"/>
          <w:szCs w:val="28"/>
        </w:rPr>
        <w:t xml:space="preserve">забезпечення населення медичним обслуговуванням, шляхом надання йому кваліфікованої планової стаціонарної та спеціалізованої амбулаторно-поліклінічної допомоги. </w:t>
      </w:r>
    </w:p>
    <w:p w:rsidR="00E41B7E" w:rsidRDefault="00E41B7E" w:rsidP="003D263F">
      <w:pPr>
        <w:numPr>
          <w:ilvl w:val="0"/>
          <w:numId w:val="1"/>
        </w:num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D263F">
        <w:rPr>
          <w:rFonts w:ascii="Times New Roman" w:hAnsi="Times New Roman" w:cs="Times New Roman"/>
          <w:sz w:val="28"/>
          <w:szCs w:val="28"/>
        </w:rPr>
        <w:t>окращ</w:t>
      </w:r>
      <w:r>
        <w:rPr>
          <w:rFonts w:ascii="Times New Roman" w:hAnsi="Times New Roman" w:cs="Times New Roman"/>
          <w:sz w:val="28"/>
          <w:szCs w:val="28"/>
        </w:rPr>
        <w:t>ення якості</w:t>
      </w:r>
      <w:r w:rsidRPr="003D263F">
        <w:rPr>
          <w:rFonts w:ascii="Times New Roman" w:hAnsi="Times New Roman" w:cs="Times New Roman"/>
          <w:sz w:val="28"/>
          <w:szCs w:val="28"/>
        </w:rPr>
        <w:t xml:space="preserve"> лікувально-профілактичної допомоги, а саме профілактики, діагностики і лікування хвороб, травм, отруєнь чи інших розладів здоров’я, удосконалювати лікувальний процес та забезпечувати зниження рівня захворюваності, інвалі</w:t>
      </w:r>
      <w:r>
        <w:rPr>
          <w:rFonts w:ascii="Times New Roman" w:hAnsi="Times New Roman" w:cs="Times New Roman"/>
          <w:sz w:val="28"/>
          <w:szCs w:val="28"/>
        </w:rPr>
        <w:t>дності та смертності населення.</w:t>
      </w:r>
    </w:p>
    <w:p w:rsidR="00E41B7E" w:rsidRDefault="00E41B7E" w:rsidP="003D263F">
      <w:pPr>
        <w:numPr>
          <w:ilvl w:val="0"/>
          <w:numId w:val="1"/>
        </w:numPr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19"/>
        <w:gridCol w:w="1791"/>
        <w:gridCol w:w="1882"/>
        <w:gridCol w:w="711"/>
        <w:gridCol w:w="1212"/>
        <w:gridCol w:w="1440"/>
        <w:gridCol w:w="1812"/>
      </w:tblGrid>
      <w:tr w:rsidR="00E41B7E" w:rsidRPr="00DF0268">
        <w:trPr>
          <w:trHeight w:val="1558"/>
          <w:jc w:val="center"/>
        </w:trPr>
        <w:tc>
          <w:tcPr>
            <w:tcW w:w="719" w:type="dxa"/>
            <w:vMerge w:val="restart"/>
            <w:vAlign w:val="center"/>
          </w:tcPr>
          <w:p w:rsidR="00E41B7E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E41B7E" w:rsidRPr="00DF0268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№ з/п</w:t>
            </w:r>
          </w:p>
        </w:tc>
        <w:tc>
          <w:tcPr>
            <w:tcW w:w="1791" w:type="dxa"/>
            <w:vMerge w:val="restart"/>
            <w:vAlign w:val="center"/>
          </w:tcPr>
          <w:p w:rsidR="00E41B7E" w:rsidRPr="00DF0268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Назва напряму діяльності (пріоритетні завдання)</w:t>
            </w:r>
          </w:p>
        </w:tc>
        <w:tc>
          <w:tcPr>
            <w:tcW w:w="1882" w:type="dxa"/>
            <w:vMerge w:val="restart"/>
            <w:vAlign w:val="center"/>
          </w:tcPr>
          <w:p w:rsidR="00E41B7E" w:rsidRPr="00DF0268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Перелік заходів програми</w:t>
            </w:r>
          </w:p>
        </w:tc>
        <w:tc>
          <w:tcPr>
            <w:tcW w:w="711" w:type="dxa"/>
            <w:vMerge w:val="restart"/>
            <w:vAlign w:val="center"/>
          </w:tcPr>
          <w:p w:rsidR="00E41B7E" w:rsidRPr="00DF0268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Строк виконання заходу</w:t>
            </w:r>
          </w:p>
        </w:tc>
        <w:tc>
          <w:tcPr>
            <w:tcW w:w="1212" w:type="dxa"/>
            <w:vMerge w:val="restart"/>
            <w:vAlign w:val="center"/>
          </w:tcPr>
          <w:p w:rsidR="00E41B7E" w:rsidRPr="00DF0268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Джерела фінансування</w:t>
            </w:r>
          </w:p>
        </w:tc>
        <w:tc>
          <w:tcPr>
            <w:tcW w:w="1440" w:type="dxa"/>
            <w:vAlign w:val="center"/>
          </w:tcPr>
          <w:p w:rsidR="00E41B7E" w:rsidRPr="00DF0268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Орієнтовні обсяги фінансування, грн.</w:t>
            </w:r>
          </w:p>
        </w:tc>
        <w:tc>
          <w:tcPr>
            <w:tcW w:w="1812" w:type="dxa"/>
          </w:tcPr>
          <w:p w:rsidR="00E41B7E" w:rsidRPr="00DF0268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Виконання Програми</w:t>
            </w:r>
          </w:p>
        </w:tc>
      </w:tr>
      <w:tr w:rsidR="00E41B7E" w:rsidRPr="00DF0268">
        <w:trPr>
          <w:trHeight w:val="75"/>
          <w:jc w:val="center"/>
        </w:trPr>
        <w:tc>
          <w:tcPr>
            <w:tcW w:w="719" w:type="dxa"/>
            <w:vMerge/>
            <w:vAlign w:val="center"/>
          </w:tcPr>
          <w:p w:rsidR="00E41B7E" w:rsidRPr="00DF0268" w:rsidRDefault="00E41B7E" w:rsidP="00450F4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91" w:type="dxa"/>
            <w:vMerge/>
            <w:vAlign w:val="center"/>
          </w:tcPr>
          <w:p w:rsidR="00E41B7E" w:rsidRPr="00DF0268" w:rsidRDefault="00E41B7E" w:rsidP="00450F4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82" w:type="dxa"/>
            <w:vMerge/>
            <w:vAlign w:val="center"/>
          </w:tcPr>
          <w:p w:rsidR="00E41B7E" w:rsidRPr="00DF0268" w:rsidRDefault="00E41B7E" w:rsidP="00450F4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711" w:type="dxa"/>
            <w:vMerge/>
            <w:vAlign w:val="center"/>
          </w:tcPr>
          <w:p w:rsidR="00E41B7E" w:rsidRPr="00DF0268" w:rsidRDefault="00E41B7E" w:rsidP="00450F4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212" w:type="dxa"/>
            <w:vMerge/>
            <w:vAlign w:val="center"/>
          </w:tcPr>
          <w:p w:rsidR="00E41B7E" w:rsidRPr="00DF0268" w:rsidRDefault="00E41B7E" w:rsidP="00450F46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440" w:type="dxa"/>
            <w:vAlign w:val="center"/>
          </w:tcPr>
          <w:p w:rsidR="00E41B7E" w:rsidRPr="00DF0268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2024</w:t>
            </w:r>
          </w:p>
        </w:tc>
        <w:tc>
          <w:tcPr>
            <w:tcW w:w="1812" w:type="dxa"/>
          </w:tcPr>
          <w:p w:rsidR="00E41B7E" w:rsidRPr="00DF0268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за</w:t>
            </w: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 xml:space="preserve"> I-III квартал</w:t>
            </w:r>
          </w:p>
        </w:tc>
      </w:tr>
      <w:tr w:rsidR="00E41B7E" w:rsidRPr="00DF0268">
        <w:trPr>
          <w:trHeight w:val="276"/>
          <w:jc w:val="center"/>
        </w:trPr>
        <w:tc>
          <w:tcPr>
            <w:tcW w:w="719" w:type="dxa"/>
            <w:vAlign w:val="center"/>
          </w:tcPr>
          <w:p w:rsidR="00E41B7E" w:rsidRPr="00DF0268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91" w:type="dxa"/>
            <w:vAlign w:val="center"/>
          </w:tcPr>
          <w:p w:rsidR="00E41B7E" w:rsidRPr="00DF0268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Оплата комунальних послуг та енергоносіїв</w:t>
            </w:r>
          </w:p>
        </w:tc>
        <w:tc>
          <w:tcPr>
            <w:tcW w:w="1882" w:type="dxa"/>
            <w:vAlign w:val="center"/>
          </w:tcPr>
          <w:p w:rsidR="00E41B7E" w:rsidRPr="00DF0268" w:rsidRDefault="00E41B7E" w:rsidP="00450F46">
            <w:pPr>
              <w:spacing w:line="36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Оплата підприємством комунальних послуг та енергоносіїв, включаючи оплату енергоносіїв для виробничих та громадських потреб та відшкодування вартості комунальних послуг при використанні орендованих приміщень.</w:t>
            </w:r>
          </w:p>
        </w:tc>
        <w:tc>
          <w:tcPr>
            <w:tcW w:w="711" w:type="dxa"/>
            <w:vAlign w:val="center"/>
          </w:tcPr>
          <w:p w:rsidR="00E41B7E" w:rsidRPr="00DF0268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2024</w:t>
            </w:r>
          </w:p>
        </w:tc>
        <w:tc>
          <w:tcPr>
            <w:tcW w:w="1212" w:type="dxa"/>
            <w:vAlign w:val="center"/>
          </w:tcPr>
          <w:p w:rsidR="00E41B7E" w:rsidRPr="00DF0268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Районний,</w:t>
            </w:r>
          </w:p>
          <w:p w:rsidR="00E41B7E" w:rsidRPr="00DF0268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місцеві бюджети</w:t>
            </w:r>
          </w:p>
        </w:tc>
        <w:tc>
          <w:tcPr>
            <w:tcW w:w="1440" w:type="dxa"/>
            <w:vAlign w:val="center"/>
          </w:tcPr>
          <w:p w:rsidR="00E41B7E" w:rsidRPr="00DF0268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8000000,00</w:t>
            </w:r>
          </w:p>
        </w:tc>
        <w:tc>
          <w:tcPr>
            <w:tcW w:w="1812" w:type="dxa"/>
          </w:tcPr>
          <w:p w:rsidR="00E41B7E" w:rsidRPr="00DF0268" w:rsidRDefault="00E41B7E" w:rsidP="00974F3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74F3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3900000,00 грн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.</w:t>
            </w:r>
          </w:p>
          <w:p w:rsidR="00E41B7E" w:rsidRPr="00DF0268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з них:</w:t>
            </w:r>
          </w:p>
          <w:p w:rsidR="00E41B7E" w:rsidRPr="00DF0268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Аджамська сільська рада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– 2600000,00 грн.</w:t>
            </w:r>
          </w:p>
          <w:p w:rsidR="00E41B7E" w:rsidRPr="00DF0268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Кропивницька районна рада - </w:t>
            </w:r>
          </w:p>
          <w:p w:rsidR="00E41B7E" w:rsidRPr="00DF0268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150</w:t>
            </w: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000,00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грн.</w:t>
            </w:r>
          </w:p>
          <w:p w:rsidR="00E41B7E" w:rsidRPr="00DF0268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Соколівська сільська рада - </w:t>
            </w:r>
          </w:p>
          <w:p w:rsidR="00E41B7E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350000,00 грн.</w:t>
            </w:r>
          </w:p>
          <w:p w:rsidR="00E41B7E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Первозванівська сільська рада 300000,00 грн.</w:t>
            </w:r>
          </w:p>
          <w:p w:rsidR="00E41B7E" w:rsidRPr="00DF0268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Кетрисанівська сільська рада 200000,00 грн.</w:t>
            </w:r>
          </w:p>
        </w:tc>
      </w:tr>
      <w:tr w:rsidR="00E41B7E" w:rsidRPr="00DF0268">
        <w:trPr>
          <w:trHeight w:val="276"/>
          <w:jc w:val="center"/>
        </w:trPr>
        <w:tc>
          <w:tcPr>
            <w:tcW w:w="719" w:type="dxa"/>
            <w:vAlign w:val="center"/>
          </w:tcPr>
          <w:p w:rsidR="00E41B7E" w:rsidRPr="00DF0268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791" w:type="dxa"/>
            <w:vAlign w:val="center"/>
          </w:tcPr>
          <w:p w:rsidR="00E41B7E" w:rsidRPr="00DF0268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Оплата праці</w:t>
            </w:r>
          </w:p>
        </w:tc>
        <w:tc>
          <w:tcPr>
            <w:tcW w:w="1882" w:type="dxa"/>
            <w:vAlign w:val="center"/>
          </w:tcPr>
          <w:p w:rsidR="00E41B7E" w:rsidRPr="00DF0268" w:rsidRDefault="00E41B7E" w:rsidP="00450F46">
            <w:pPr>
              <w:spacing w:line="36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Заробітна плата лікарів що надають послуги на території громад Кропивницького району</w:t>
            </w:r>
          </w:p>
        </w:tc>
        <w:tc>
          <w:tcPr>
            <w:tcW w:w="711" w:type="dxa"/>
            <w:vAlign w:val="center"/>
          </w:tcPr>
          <w:p w:rsidR="00E41B7E" w:rsidRPr="00DF0268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2024</w:t>
            </w:r>
          </w:p>
        </w:tc>
        <w:tc>
          <w:tcPr>
            <w:tcW w:w="1212" w:type="dxa"/>
            <w:vAlign w:val="center"/>
          </w:tcPr>
          <w:p w:rsidR="00E41B7E" w:rsidRPr="00DF0268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Місцеві бюджети</w:t>
            </w:r>
          </w:p>
        </w:tc>
        <w:tc>
          <w:tcPr>
            <w:tcW w:w="1440" w:type="dxa"/>
            <w:vAlign w:val="center"/>
          </w:tcPr>
          <w:p w:rsidR="00E41B7E" w:rsidRPr="00DF0268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1 000000,00</w:t>
            </w:r>
          </w:p>
        </w:tc>
        <w:tc>
          <w:tcPr>
            <w:tcW w:w="1812" w:type="dxa"/>
          </w:tcPr>
          <w:p w:rsidR="00E41B7E" w:rsidRPr="00974F3A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974F3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464800,00 грн.</w:t>
            </w:r>
          </w:p>
          <w:p w:rsidR="00E41B7E" w:rsidRPr="00DF0268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з них:</w:t>
            </w:r>
          </w:p>
          <w:p w:rsidR="00E41B7E" w:rsidRPr="00DF0268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Первозванівська сільська рада – 219600,00 грн. </w:t>
            </w:r>
          </w:p>
          <w:p w:rsidR="00E41B7E" w:rsidRPr="00DF0268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 xml:space="preserve">Соколівська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сільська рада – 172000,00 грн.</w:t>
            </w:r>
          </w:p>
          <w:p w:rsidR="00E41B7E" w:rsidRPr="00DF0268" w:rsidRDefault="00E41B7E" w:rsidP="00974F3A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Катеринівська сільська рада –</w:t>
            </w: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73200,00 грн.</w:t>
            </w:r>
          </w:p>
        </w:tc>
      </w:tr>
      <w:tr w:rsidR="00E41B7E" w:rsidRPr="00DF0268">
        <w:trPr>
          <w:trHeight w:val="276"/>
          <w:jc w:val="center"/>
        </w:trPr>
        <w:tc>
          <w:tcPr>
            <w:tcW w:w="719" w:type="dxa"/>
            <w:vAlign w:val="center"/>
          </w:tcPr>
          <w:p w:rsidR="00E41B7E" w:rsidRPr="00DF0268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791" w:type="dxa"/>
            <w:vAlign w:val="center"/>
          </w:tcPr>
          <w:p w:rsidR="00E41B7E" w:rsidRPr="00DF0268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Оновлення матеріально-технічної бази</w:t>
            </w:r>
          </w:p>
        </w:tc>
        <w:tc>
          <w:tcPr>
            <w:tcW w:w="1882" w:type="dxa"/>
            <w:vAlign w:val="center"/>
          </w:tcPr>
          <w:p w:rsidR="00E41B7E" w:rsidRPr="00DF0268" w:rsidRDefault="00E41B7E" w:rsidP="00450F46">
            <w:pPr>
              <w:spacing w:line="36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Придбання матеріалів, обладнання, інвентарю та предметів довгострокового користування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для потреб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підприємства</w:t>
            </w:r>
          </w:p>
        </w:tc>
        <w:tc>
          <w:tcPr>
            <w:tcW w:w="711" w:type="dxa"/>
            <w:vAlign w:val="center"/>
          </w:tcPr>
          <w:p w:rsidR="00E41B7E" w:rsidRPr="00DF0268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2024</w:t>
            </w:r>
          </w:p>
        </w:tc>
        <w:tc>
          <w:tcPr>
            <w:tcW w:w="1212" w:type="dxa"/>
            <w:vAlign w:val="center"/>
          </w:tcPr>
          <w:p w:rsidR="00E41B7E" w:rsidRPr="00DF0268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Районний,</w:t>
            </w:r>
          </w:p>
          <w:p w:rsidR="00E41B7E" w:rsidRPr="00DF0268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місцеві бюджети</w:t>
            </w:r>
          </w:p>
        </w:tc>
        <w:tc>
          <w:tcPr>
            <w:tcW w:w="1440" w:type="dxa"/>
            <w:vAlign w:val="center"/>
          </w:tcPr>
          <w:p w:rsidR="00E41B7E" w:rsidRPr="00DF0268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5 000000,00</w:t>
            </w:r>
          </w:p>
        </w:tc>
        <w:tc>
          <w:tcPr>
            <w:tcW w:w="1812" w:type="dxa"/>
          </w:tcPr>
          <w:p w:rsidR="00E41B7E" w:rsidRPr="00974F3A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974F3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2 993 848,00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грн.</w:t>
            </w:r>
          </w:p>
          <w:p w:rsidR="00E41B7E" w:rsidRPr="00DF0268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з них:</w:t>
            </w:r>
          </w:p>
          <w:p w:rsidR="00E41B7E" w:rsidRPr="00DF0268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Кетрисанівська сільська рада -2905</w:t>
            </w: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848,00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грн.</w:t>
            </w:r>
          </w:p>
          <w:p w:rsidR="00E41B7E" w:rsidRPr="00DF0268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Соколівська сільська рада – 80000,</w:t>
            </w: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грн.</w:t>
            </w:r>
          </w:p>
          <w:p w:rsidR="00E41B7E" w:rsidRPr="00DF0268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Первозванівська сільська рада – 8</w:t>
            </w: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000,00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грн.</w:t>
            </w:r>
          </w:p>
        </w:tc>
      </w:tr>
      <w:tr w:rsidR="00E41B7E" w:rsidRPr="00DF0268">
        <w:trPr>
          <w:trHeight w:val="276"/>
          <w:jc w:val="center"/>
        </w:trPr>
        <w:tc>
          <w:tcPr>
            <w:tcW w:w="719" w:type="dxa"/>
            <w:vAlign w:val="center"/>
          </w:tcPr>
          <w:p w:rsidR="00E41B7E" w:rsidRPr="00DF0268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791" w:type="dxa"/>
            <w:vAlign w:val="center"/>
          </w:tcPr>
          <w:p w:rsidR="00E41B7E" w:rsidRPr="00DF0268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Оплата послуг з підготовки проектно-кошторисної документації</w:t>
            </w:r>
          </w:p>
        </w:tc>
        <w:tc>
          <w:tcPr>
            <w:tcW w:w="1882" w:type="dxa"/>
            <w:vAlign w:val="center"/>
          </w:tcPr>
          <w:p w:rsidR="00E41B7E" w:rsidRPr="00DF0268" w:rsidRDefault="00E41B7E" w:rsidP="00450F46">
            <w:pPr>
              <w:spacing w:line="36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Виконання робіт з підготовки проектно-кошторисної документації на комплекс будівель лікувального закладу по проведенню утеплення фасаду, заміни вікон та ремонту покрівлі у лікувальному закладі. Проектно-кошторисна документація для проведення кисню до відділення реанімації та інтенсивної терапії.</w:t>
            </w:r>
          </w:p>
        </w:tc>
        <w:tc>
          <w:tcPr>
            <w:tcW w:w="711" w:type="dxa"/>
            <w:vAlign w:val="center"/>
          </w:tcPr>
          <w:p w:rsidR="00E41B7E" w:rsidRPr="00DF0268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2024</w:t>
            </w:r>
          </w:p>
        </w:tc>
        <w:tc>
          <w:tcPr>
            <w:tcW w:w="1212" w:type="dxa"/>
            <w:vAlign w:val="center"/>
          </w:tcPr>
          <w:p w:rsidR="00E41B7E" w:rsidRPr="00DF0268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Районний,</w:t>
            </w:r>
          </w:p>
          <w:p w:rsidR="00E41B7E" w:rsidRPr="00DF0268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місцеві бюджети</w:t>
            </w:r>
          </w:p>
        </w:tc>
        <w:tc>
          <w:tcPr>
            <w:tcW w:w="1440" w:type="dxa"/>
            <w:vAlign w:val="center"/>
          </w:tcPr>
          <w:p w:rsidR="00E41B7E" w:rsidRPr="00DF0268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F0268">
              <w:rPr>
                <w:rFonts w:ascii="Times New Roman" w:hAnsi="Times New Roman" w:cs="Times New Roman"/>
                <w:color w:val="auto"/>
                <w:lang w:eastAsia="en-US"/>
              </w:rPr>
              <w:t>1000000,00</w:t>
            </w:r>
          </w:p>
        </w:tc>
        <w:tc>
          <w:tcPr>
            <w:tcW w:w="1812" w:type="dxa"/>
          </w:tcPr>
          <w:p w:rsidR="00E41B7E" w:rsidRPr="00974F3A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974F3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156000,00 грн.</w:t>
            </w:r>
          </w:p>
          <w:p w:rsidR="00E41B7E" w:rsidRPr="00DF0268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з них:</w:t>
            </w:r>
          </w:p>
          <w:p w:rsidR="00E41B7E" w:rsidRPr="00DF0268" w:rsidRDefault="00E41B7E" w:rsidP="00450F46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Аджамська сільська рада – 156000,00 грн.</w:t>
            </w:r>
          </w:p>
        </w:tc>
      </w:tr>
      <w:tr w:rsidR="00E41B7E" w:rsidRPr="00974F3A">
        <w:trPr>
          <w:trHeight w:val="146"/>
          <w:jc w:val="center"/>
        </w:trPr>
        <w:tc>
          <w:tcPr>
            <w:tcW w:w="719" w:type="dxa"/>
            <w:vAlign w:val="center"/>
          </w:tcPr>
          <w:p w:rsidR="00E41B7E" w:rsidRPr="00974F3A" w:rsidRDefault="00E41B7E" w:rsidP="00974F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791" w:type="dxa"/>
            <w:vAlign w:val="center"/>
          </w:tcPr>
          <w:p w:rsidR="00E41B7E" w:rsidRPr="00974F3A" w:rsidRDefault="00E41B7E" w:rsidP="00974F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974F3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Всього</w:t>
            </w:r>
          </w:p>
        </w:tc>
        <w:tc>
          <w:tcPr>
            <w:tcW w:w="1882" w:type="dxa"/>
            <w:vAlign w:val="center"/>
          </w:tcPr>
          <w:p w:rsidR="00E41B7E" w:rsidRPr="00974F3A" w:rsidRDefault="00E41B7E" w:rsidP="00974F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711" w:type="dxa"/>
            <w:vAlign w:val="center"/>
          </w:tcPr>
          <w:p w:rsidR="00E41B7E" w:rsidRPr="00974F3A" w:rsidRDefault="00E41B7E" w:rsidP="00974F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:rsidR="00E41B7E" w:rsidRPr="00974F3A" w:rsidRDefault="00E41B7E" w:rsidP="00974F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1440" w:type="dxa"/>
            <w:vAlign w:val="center"/>
          </w:tcPr>
          <w:p w:rsidR="00E41B7E" w:rsidRPr="00974F3A" w:rsidRDefault="00E41B7E" w:rsidP="00974F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974F3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15000000,00</w:t>
            </w:r>
          </w:p>
        </w:tc>
        <w:tc>
          <w:tcPr>
            <w:tcW w:w="1812" w:type="dxa"/>
            <w:vAlign w:val="center"/>
          </w:tcPr>
          <w:p w:rsidR="00E41B7E" w:rsidRPr="00974F3A" w:rsidRDefault="00E41B7E" w:rsidP="00974F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974F3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7518648,00</w:t>
            </w:r>
          </w:p>
        </w:tc>
      </w:tr>
    </w:tbl>
    <w:p w:rsidR="00E41B7E" w:rsidRPr="00DF0268" w:rsidRDefault="00E41B7E" w:rsidP="00974F3A">
      <w:pPr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bookmarkStart w:id="0" w:name="_GoBack"/>
      <w:bookmarkEnd w:id="0"/>
    </w:p>
    <w:sectPr w:rsidR="00E41B7E" w:rsidRPr="00DF0268" w:rsidSect="003D263F">
      <w:pgSz w:w="11906" w:h="16838"/>
      <w:pgMar w:top="1276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eiry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30295"/>
    <w:multiLevelType w:val="multilevel"/>
    <w:tmpl w:val="839EC58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4CA"/>
    <w:rsid w:val="00007BD6"/>
    <w:rsid w:val="000A312B"/>
    <w:rsid w:val="001470B5"/>
    <w:rsid w:val="00172AAB"/>
    <w:rsid w:val="00204CFB"/>
    <w:rsid w:val="00215A3C"/>
    <w:rsid w:val="002176C2"/>
    <w:rsid w:val="002A53A5"/>
    <w:rsid w:val="003030BF"/>
    <w:rsid w:val="00396A51"/>
    <w:rsid w:val="003B55F6"/>
    <w:rsid w:val="003D263F"/>
    <w:rsid w:val="004266DF"/>
    <w:rsid w:val="004449BE"/>
    <w:rsid w:val="00450F46"/>
    <w:rsid w:val="00493AD8"/>
    <w:rsid w:val="004A05A4"/>
    <w:rsid w:val="00523CCC"/>
    <w:rsid w:val="005571CB"/>
    <w:rsid w:val="00663209"/>
    <w:rsid w:val="00695B06"/>
    <w:rsid w:val="006C2D60"/>
    <w:rsid w:val="006E1DAE"/>
    <w:rsid w:val="00704361"/>
    <w:rsid w:val="007761B0"/>
    <w:rsid w:val="007A54D8"/>
    <w:rsid w:val="00841424"/>
    <w:rsid w:val="008546F6"/>
    <w:rsid w:val="00886E80"/>
    <w:rsid w:val="008F6383"/>
    <w:rsid w:val="00974F3A"/>
    <w:rsid w:val="00A505BB"/>
    <w:rsid w:val="00AB411A"/>
    <w:rsid w:val="00B91E78"/>
    <w:rsid w:val="00C02A46"/>
    <w:rsid w:val="00D22C03"/>
    <w:rsid w:val="00D371F2"/>
    <w:rsid w:val="00D43F94"/>
    <w:rsid w:val="00DB44CA"/>
    <w:rsid w:val="00DC7F12"/>
    <w:rsid w:val="00DF0268"/>
    <w:rsid w:val="00E071CF"/>
    <w:rsid w:val="00E344E3"/>
    <w:rsid w:val="00E41B7E"/>
    <w:rsid w:val="00E73FB9"/>
    <w:rsid w:val="00F33718"/>
    <w:rsid w:val="00F62599"/>
    <w:rsid w:val="00FD0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4CA"/>
    <w:pPr>
      <w:widowControl w:val="0"/>
    </w:pPr>
    <w:rPr>
      <w:rFonts w:ascii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Основной текст (4)_"/>
    <w:basedOn w:val="DefaultParagraphFont"/>
    <w:link w:val="40"/>
    <w:uiPriority w:val="99"/>
    <w:locked/>
    <w:rsid w:val="0084142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841424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547</Words>
  <Characters>3118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стан виконання  Програми розвитку та фінансової підтримки комунального некомерційного</dc:title>
  <dc:subject/>
  <dc:creator>Тетяна Міщенко</dc:creator>
  <cp:keywords/>
  <dc:description/>
  <cp:lastModifiedBy>PC-user</cp:lastModifiedBy>
  <cp:revision>2</cp:revision>
  <cp:lastPrinted>2025-03-13T10:14:00Z</cp:lastPrinted>
  <dcterms:created xsi:type="dcterms:W3CDTF">2025-03-13T11:49:00Z</dcterms:created>
  <dcterms:modified xsi:type="dcterms:W3CDTF">2025-03-13T11:49:00Z</dcterms:modified>
</cp:coreProperties>
</file>