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46" w:rsidRDefault="00C02A46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Інформація</w:t>
      </w:r>
    </w:p>
    <w:p w:rsidR="00C02A46" w:rsidRDefault="00C02A46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про стан виконання </w:t>
      </w:r>
      <w:r w:rsidRPr="00841424">
        <w:rPr>
          <w:sz w:val="28"/>
          <w:szCs w:val="28"/>
        </w:rPr>
        <w:t>Програми розвитку та фінансової підтримки комунального некомерційного</w:t>
      </w:r>
      <w:r>
        <w:rPr>
          <w:sz w:val="28"/>
          <w:szCs w:val="28"/>
        </w:rPr>
        <w:t xml:space="preserve"> </w:t>
      </w:r>
      <w:r w:rsidRPr="00841424">
        <w:rPr>
          <w:sz w:val="28"/>
          <w:szCs w:val="28"/>
        </w:rPr>
        <w:t>підприємст</w:t>
      </w:r>
      <w:r>
        <w:rPr>
          <w:sz w:val="28"/>
          <w:szCs w:val="28"/>
        </w:rPr>
        <w:t>ва</w:t>
      </w:r>
    </w:p>
    <w:p w:rsidR="00C02A46" w:rsidRDefault="00C02A46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Кропивницької районної ради</w:t>
      </w:r>
    </w:p>
    <w:p w:rsidR="00C02A46" w:rsidRDefault="00C02A46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841424">
        <w:rPr>
          <w:sz w:val="28"/>
          <w:szCs w:val="28"/>
        </w:rPr>
        <w:t>«Кропивницька центральна районна лікарня» на 202</w:t>
      </w:r>
      <w:r w:rsidRPr="00DF0268">
        <w:rPr>
          <w:sz w:val="28"/>
          <w:szCs w:val="28"/>
          <w:lang w:val="ru-RU"/>
        </w:rPr>
        <w:t>4</w:t>
      </w:r>
      <w:r w:rsidRPr="00841424">
        <w:rPr>
          <w:sz w:val="28"/>
          <w:szCs w:val="28"/>
        </w:rPr>
        <w:t xml:space="preserve"> рік</w:t>
      </w:r>
    </w:p>
    <w:p w:rsidR="00C02A46" w:rsidRDefault="00C02A46" w:rsidP="00DF0268">
      <w:pPr>
        <w:pStyle w:val="40"/>
        <w:shd w:val="clear" w:color="auto" w:fill="auto"/>
        <w:spacing w:line="240" w:lineRule="auto"/>
        <w:ind w:right="20" w:firstLine="709"/>
        <w:jc w:val="both"/>
        <w:rPr>
          <w:b w:val="0"/>
          <w:bCs w:val="0"/>
          <w:sz w:val="28"/>
          <w:szCs w:val="28"/>
        </w:rPr>
      </w:pPr>
    </w:p>
    <w:p w:rsidR="00C02A46" w:rsidRPr="00215A3C" w:rsidRDefault="00C02A46" w:rsidP="00DF0268">
      <w:pPr>
        <w:pStyle w:val="40"/>
        <w:shd w:val="clear" w:color="auto" w:fill="auto"/>
        <w:spacing w:line="240" w:lineRule="auto"/>
        <w:ind w:right="20" w:firstLine="709"/>
        <w:jc w:val="both"/>
        <w:rPr>
          <w:b w:val="0"/>
          <w:bCs w:val="0"/>
          <w:sz w:val="28"/>
          <w:szCs w:val="28"/>
        </w:rPr>
      </w:pPr>
      <w:r w:rsidRPr="00841424">
        <w:rPr>
          <w:b w:val="0"/>
          <w:bCs w:val="0"/>
          <w:sz w:val="28"/>
          <w:szCs w:val="28"/>
        </w:rPr>
        <w:t>Часткова реалізація Програми розвитку та фінансової підтримки комунального некомерційного підприємст</w:t>
      </w:r>
      <w:r>
        <w:rPr>
          <w:b w:val="0"/>
          <w:bCs w:val="0"/>
          <w:sz w:val="28"/>
          <w:szCs w:val="28"/>
        </w:rPr>
        <w:t xml:space="preserve">ва Кропивницької районної ради </w:t>
      </w:r>
      <w:r w:rsidRPr="00841424">
        <w:rPr>
          <w:b w:val="0"/>
          <w:bCs w:val="0"/>
          <w:sz w:val="28"/>
          <w:szCs w:val="28"/>
        </w:rPr>
        <w:t>«Кропивницька центральна районна лікарня» на 202</w:t>
      </w:r>
      <w:r w:rsidRPr="00DF0268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рік дало змогу </w:t>
      </w:r>
      <w:r w:rsidRPr="00841424">
        <w:rPr>
          <w:b w:val="0"/>
          <w:bCs w:val="0"/>
          <w:sz w:val="28"/>
          <w:szCs w:val="28"/>
        </w:rPr>
        <w:t>забезпечити населення медичним обслуговуванням, шляхом надання йому кваліфікованої планової стаціонарної та спеціалізованої амбулаторно-поліклінічної допомоги. Покращити якість лікувально-профілактичної допомоги, а саме профілактики, діагностики і лікування хвороб, травм, отруєнь чи інших розладів здоров’я</w:t>
      </w:r>
      <w:r>
        <w:rPr>
          <w:b w:val="0"/>
          <w:bCs w:val="0"/>
          <w:sz w:val="28"/>
          <w:szCs w:val="28"/>
        </w:rPr>
        <w:t xml:space="preserve">, </w:t>
      </w:r>
      <w:r w:rsidRPr="00841424">
        <w:rPr>
          <w:b w:val="0"/>
          <w:bCs w:val="0"/>
          <w:sz w:val="28"/>
          <w:szCs w:val="28"/>
        </w:rPr>
        <w:t>удосконал</w:t>
      </w:r>
      <w:r>
        <w:rPr>
          <w:b w:val="0"/>
          <w:bCs w:val="0"/>
          <w:sz w:val="28"/>
          <w:szCs w:val="28"/>
        </w:rPr>
        <w:t xml:space="preserve">ювати </w:t>
      </w:r>
      <w:r w:rsidRPr="00841424">
        <w:rPr>
          <w:b w:val="0"/>
          <w:bCs w:val="0"/>
          <w:sz w:val="28"/>
          <w:szCs w:val="28"/>
        </w:rPr>
        <w:t>лікувальн</w:t>
      </w:r>
      <w:r>
        <w:rPr>
          <w:b w:val="0"/>
          <w:bCs w:val="0"/>
          <w:sz w:val="28"/>
          <w:szCs w:val="28"/>
        </w:rPr>
        <w:t>ий</w:t>
      </w:r>
      <w:r w:rsidRPr="00841424">
        <w:rPr>
          <w:b w:val="0"/>
          <w:bCs w:val="0"/>
          <w:sz w:val="28"/>
          <w:szCs w:val="28"/>
        </w:rPr>
        <w:t xml:space="preserve"> процес</w:t>
      </w:r>
      <w:r>
        <w:rPr>
          <w:b w:val="0"/>
          <w:bCs w:val="0"/>
          <w:sz w:val="28"/>
          <w:szCs w:val="28"/>
        </w:rPr>
        <w:t xml:space="preserve"> </w:t>
      </w:r>
      <w:r w:rsidRPr="00215A3C">
        <w:rPr>
          <w:b w:val="0"/>
          <w:bCs w:val="0"/>
          <w:sz w:val="28"/>
          <w:szCs w:val="28"/>
        </w:rPr>
        <w:t>та забезпечувати зниження рівня захворюваності, інвалідності та смертності населення, підвищити</w:t>
      </w:r>
      <w:r>
        <w:rPr>
          <w:b w:val="0"/>
          <w:bCs w:val="0"/>
          <w:sz w:val="28"/>
          <w:szCs w:val="28"/>
        </w:rPr>
        <w:t xml:space="preserve"> </w:t>
      </w:r>
      <w:r w:rsidRPr="00215A3C">
        <w:rPr>
          <w:b w:val="0"/>
          <w:bCs w:val="0"/>
          <w:sz w:val="28"/>
          <w:szCs w:val="28"/>
        </w:rPr>
        <w:t>ефективність використання наявних кадрових, фінансових та матеріальних ресурсів.</w:t>
      </w:r>
    </w:p>
    <w:p w:rsidR="00C02A46" w:rsidRPr="00841424" w:rsidRDefault="00C02A46" w:rsidP="00DF0268">
      <w:pPr>
        <w:pStyle w:val="4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1"/>
        <w:gridCol w:w="1791"/>
        <w:gridCol w:w="2889"/>
        <w:gridCol w:w="711"/>
        <w:gridCol w:w="1809"/>
        <w:gridCol w:w="1440"/>
        <w:gridCol w:w="1800"/>
      </w:tblGrid>
      <w:tr w:rsidR="00C02A46" w:rsidRPr="00DF0268" w:rsidTr="00DF0268">
        <w:trPr>
          <w:trHeight w:val="1558"/>
          <w:jc w:val="center"/>
        </w:trPr>
        <w:tc>
          <w:tcPr>
            <w:tcW w:w="461" w:type="dxa"/>
            <w:vMerge w:val="restart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791" w:type="dxa"/>
            <w:vMerge w:val="restart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Назва напряму діяльності (пріоритетні завдання)</w:t>
            </w:r>
          </w:p>
        </w:tc>
        <w:tc>
          <w:tcPr>
            <w:tcW w:w="2889" w:type="dxa"/>
            <w:vMerge w:val="restart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Перелік заходів програми</w:t>
            </w:r>
          </w:p>
        </w:tc>
        <w:tc>
          <w:tcPr>
            <w:tcW w:w="711" w:type="dxa"/>
            <w:vMerge w:val="restart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Строк виконання заходу</w:t>
            </w:r>
          </w:p>
        </w:tc>
        <w:tc>
          <w:tcPr>
            <w:tcW w:w="1809" w:type="dxa"/>
            <w:vMerge w:val="restart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Джерела фінансування</w:t>
            </w:r>
          </w:p>
        </w:tc>
        <w:tc>
          <w:tcPr>
            <w:tcW w:w="1440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Орієнтовні обсяги фінансування, грн.</w:t>
            </w:r>
          </w:p>
        </w:tc>
        <w:tc>
          <w:tcPr>
            <w:tcW w:w="1800" w:type="dxa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Виконання Програми</w:t>
            </w:r>
          </w:p>
        </w:tc>
      </w:tr>
      <w:tr w:rsidR="00C02A46" w:rsidRPr="00DF0268" w:rsidTr="00DF0268">
        <w:trPr>
          <w:trHeight w:val="75"/>
          <w:jc w:val="center"/>
        </w:trPr>
        <w:tc>
          <w:tcPr>
            <w:tcW w:w="461" w:type="dxa"/>
            <w:vMerge/>
            <w:vAlign w:val="center"/>
          </w:tcPr>
          <w:p w:rsidR="00C02A46" w:rsidRPr="00DF0268" w:rsidRDefault="00C02A46" w:rsidP="00450F4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vMerge/>
            <w:vAlign w:val="center"/>
          </w:tcPr>
          <w:p w:rsidR="00C02A46" w:rsidRPr="00DF0268" w:rsidRDefault="00C02A46" w:rsidP="00450F4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</w:p>
        </w:tc>
        <w:tc>
          <w:tcPr>
            <w:tcW w:w="2889" w:type="dxa"/>
            <w:vMerge/>
            <w:vAlign w:val="center"/>
          </w:tcPr>
          <w:p w:rsidR="00C02A46" w:rsidRPr="00DF0268" w:rsidRDefault="00C02A46" w:rsidP="00450F4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C02A46" w:rsidRPr="00DF0268" w:rsidRDefault="00C02A46" w:rsidP="00450F4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</w:p>
        </w:tc>
        <w:tc>
          <w:tcPr>
            <w:tcW w:w="1809" w:type="dxa"/>
            <w:vMerge/>
            <w:vAlign w:val="center"/>
          </w:tcPr>
          <w:p w:rsidR="00C02A46" w:rsidRPr="00DF0268" w:rsidRDefault="00C02A46" w:rsidP="00450F4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0" w:type="dxa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 I-III квартал</w:t>
            </w:r>
          </w:p>
        </w:tc>
      </w:tr>
      <w:tr w:rsidR="00C02A46" w:rsidRPr="00DF0268" w:rsidTr="00DF0268">
        <w:trPr>
          <w:trHeight w:val="276"/>
          <w:jc w:val="center"/>
        </w:trPr>
        <w:tc>
          <w:tcPr>
            <w:tcW w:w="46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комунальних послуг та енергоносіїв</w:t>
            </w:r>
          </w:p>
        </w:tc>
        <w:tc>
          <w:tcPr>
            <w:tcW w:w="2889" w:type="dxa"/>
            <w:vAlign w:val="center"/>
          </w:tcPr>
          <w:p w:rsidR="00C02A46" w:rsidRPr="00DF0268" w:rsidRDefault="00C02A46" w:rsidP="00450F46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підприємством комунальних послуг та енергоносіїв, включаючи оплату енергоносіїв для виробничих та громадських потреб та відшкодування вартості комунальних послуг при використанні орендованих приміщень.</w:t>
            </w:r>
          </w:p>
        </w:tc>
        <w:tc>
          <w:tcPr>
            <w:tcW w:w="71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9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8000000,00</w:t>
            </w:r>
          </w:p>
        </w:tc>
        <w:tc>
          <w:tcPr>
            <w:tcW w:w="1800" w:type="dxa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1 900 000,00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 них: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  <w:proofErr w:type="spellStart"/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Аджамська</w:t>
            </w:r>
            <w:proofErr w:type="spellEnd"/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сільська рада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– 1500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Кропивницька районна рада - 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150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Соколівська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сільська рада - 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250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000,00</w:t>
            </w:r>
          </w:p>
        </w:tc>
      </w:tr>
      <w:tr w:rsidR="00C02A46" w:rsidRPr="00DF0268" w:rsidTr="00DF0268">
        <w:trPr>
          <w:trHeight w:val="276"/>
          <w:jc w:val="center"/>
        </w:trPr>
        <w:tc>
          <w:tcPr>
            <w:tcW w:w="46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праці</w:t>
            </w:r>
          </w:p>
        </w:tc>
        <w:tc>
          <w:tcPr>
            <w:tcW w:w="2889" w:type="dxa"/>
            <w:vAlign w:val="center"/>
          </w:tcPr>
          <w:p w:rsidR="00C02A46" w:rsidRPr="00DF0268" w:rsidRDefault="00C02A46" w:rsidP="00450F46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Заробітна плата лікарів що надають послуги на території громад Кропивницького району</w:t>
            </w:r>
          </w:p>
        </w:tc>
        <w:tc>
          <w:tcPr>
            <w:tcW w:w="71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9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1 000000,00</w:t>
            </w:r>
          </w:p>
        </w:tc>
        <w:tc>
          <w:tcPr>
            <w:tcW w:w="1800" w:type="dxa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283 000,00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 них: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Первозванівська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сільська рада – 146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400,00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; 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Соколівська</w:t>
            </w:r>
            <w:proofErr w:type="spellEnd"/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сільська рада 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100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Катеринівська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сільська рада 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- 36600,00</w:t>
            </w:r>
          </w:p>
        </w:tc>
      </w:tr>
      <w:tr w:rsidR="00C02A46" w:rsidRPr="00DF0268" w:rsidTr="00DF0268">
        <w:trPr>
          <w:trHeight w:val="276"/>
          <w:jc w:val="center"/>
        </w:trPr>
        <w:tc>
          <w:tcPr>
            <w:tcW w:w="46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79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Оновлення матеріально-технічної бази</w:t>
            </w:r>
          </w:p>
        </w:tc>
        <w:tc>
          <w:tcPr>
            <w:tcW w:w="2889" w:type="dxa"/>
            <w:vAlign w:val="center"/>
          </w:tcPr>
          <w:p w:rsidR="00C02A46" w:rsidRPr="00DF0268" w:rsidRDefault="00C02A46" w:rsidP="00450F46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Придбання матеріалів, обладнання, інвентарю та предметів довгострокового користування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для потреб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підприємства</w:t>
            </w:r>
          </w:p>
        </w:tc>
        <w:tc>
          <w:tcPr>
            <w:tcW w:w="71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9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5 000000,00</w:t>
            </w:r>
          </w:p>
        </w:tc>
        <w:tc>
          <w:tcPr>
            <w:tcW w:w="1800" w:type="dxa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2 993 848,00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 них: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Кетрисанівська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сільська рада -2905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848,00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Соколівська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сільська рада – 80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000, 00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Первозванівська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сільська рада – 8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000,00</w:t>
            </w:r>
          </w:p>
        </w:tc>
      </w:tr>
      <w:tr w:rsidR="00C02A46" w:rsidRPr="00DF0268" w:rsidTr="00DF0268">
        <w:trPr>
          <w:trHeight w:val="276"/>
          <w:jc w:val="center"/>
        </w:trPr>
        <w:tc>
          <w:tcPr>
            <w:tcW w:w="46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9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послуг з підготовки проектно-кошторисної документації</w:t>
            </w:r>
          </w:p>
        </w:tc>
        <w:tc>
          <w:tcPr>
            <w:tcW w:w="2889" w:type="dxa"/>
            <w:vAlign w:val="center"/>
          </w:tcPr>
          <w:p w:rsidR="00C02A46" w:rsidRPr="00DF0268" w:rsidRDefault="00C02A46" w:rsidP="00450F46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Виконання робіт з підготовки проектно-кошторисної документації на комплекс будівель лікувального закладу по проведенню утеплення фасаду, заміни вікон та ремонту покрівлі у лікувальному закладі. Проектно-кошторисна документація для проведення кисню до відділення реанімації та інтенсивної терапії.</w:t>
            </w:r>
          </w:p>
        </w:tc>
        <w:tc>
          <w:tcPr>
            <w:tcW w:w="711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9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1000000,00</w:t>
            </w:r>
          </w:p>
        </w:tc>
        <w:tc>
          <w:tcPr>
            <w:tcW w:w="1800" w:type="dxa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0,00</w:t>
            </w: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02A46" w:rsidRPr="00DF0268" w:rsidTr="00DF0268">
        <w:trPr>
          <w:trHeight w:val="146"/>
          <w:jc w:val="center"/>
        </w:trPr>
        <w:tc>
          <w:tcPr>
            <w:tcW w:w="461" w:type="dxa"/>
            <w:vAlign w:val="center"/>
          </w:tcPr>
          <w:p w:rsidR="00C02A46" w:rsidRPr="00DF0268" w:rsidRDefault="00C02A46" w:rsidP="00450F46">
            <w:pPr>
              <w:spacing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vAlign w:val="center"/>
          </w:tcPr>
          <w:p w:rsidR="00C02A46" w:rsidRPr="00DF0268" w:rsidRDefault="00C02A46" w:rsidP="00450F46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Всього</w:t>
            </w:r>
          </w:p>
        </w:tc>
        <w:tc>
          <w:tcPr>
            <w:tcW w:w="2889" w:type="dxa"/>
            <w:vAlign w:val="center"/>
          </w:tcPr>
          <w:p w:rsidR="00C02A46" w:rsidRPr="00DF0268" w:rsidRDefault="00C02A46" w:rsidP="00450F46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C02A46" w:rsidRPr="00DF0268" w:rsidRDefault="00C02A46" w:rsidP="00450F46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09" w:type="dxa"/>
            <w:vAlign w:val="center"/>
          </w:tcPr>
          <w:p w:rsidR="00C02A46" w:rsidRPr="00DF0268" w:rsidRDefault="00C02A46" w:rsidP="00450F46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15000000,00</w:t>
            </w:r>
          </w:p>
        </w:tc>
        <w:tc>
          <w:tcPr>
            <w:tcW w:w="1800" w:type="dxa"/>
          </w:tcPr>
          <w:p w:rsidR="00C02A46" w:rsidRPr="00DF0268" w:rsidRDefault="00C02A46" w:rsidP="00450F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5176</w:t>
            </w:r>
            <w:r w:rsidRPr="00DF02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848,00</w:t>
            </w:r>
          </w:p>
        </w:tc>
      </w:tr>
    </w:tbl>
    <w:p w:rsidR="00C02A46" w:rsidRPr="00DF0268" w:rsidRDefault="00C02A46">
      <w:pPr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sectPr w:rsidR="00C02A46" w:rsidRPr="00DF0268" w:rsidSect="00DF02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0295"/>
    <w:multiLevelType w:val="multilevel"/>
    <w:tmpl w:val="839EC5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CA"/>
    <w:rsid w:val="001470B5"/>
    <w:rsid w:val="00172AAB"/>
    <w:rsid w:val="00215A3C"/>
    <w:rsid w:val="002176C2"/>
    <w:rsid w:val="00296ED5"/>
    <w:rsid w:val="002A53A5"/>
    <w:rsid w:val="003030BF"/>
    <w:rsid w:val="004266DF"/>
    <w:rsid w:val="00450F46"/>
    <w:rsid w:val="00493AD8"/>
    <w:rsid w:val="005571CB"/>
    <w:rsid w:val="00695B06"/>
    <w:rsid w:val="006C2D60"/>
    <w:rsid w:val="006E1DAE"/>
    <w:rsid w:val="00704361"/>
    <w:rsid w:val="007A54D8"/>
    <w:rsid w:val="00841424"/>
    <w:rsid w:val="008546F6"/>
    <w:rsid w:val="00886E80"/>
    <w:rsid w:val="00AB411A"/>
    <w:rsid w:val="00AE0D76"/>
    <w:rsid w:val="00B91E78"/>
    <w:rsid w:val="00C02A46"/>
    <w:rsid w:val="00D22C03"/>
    <w:rsid w:val="00D371F2"/>
    <w:rsid w:val="00D43F94"/>
    <w:rsid w:val="00DB44CA"/>
    <w:rsid w:val="00DC7F12"/>
    <w:rsid w:val="00DF0268"/>
    <w:rsid w:val="00E344E3"/>
    <w:rsid w:val="00F33718"/>
    <w:rsid w:val="00F6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CA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8414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4142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стан виконання  Програми розвитку та фінансової підтримки комунального некомерційного</dc:title>
  <dc:creator>Тетяна Міщенко</dc:creator>
  <cp:lastModifiedBy>RR-DK-06</cp:lastModifiedBy>
  <cp:revision>2</cp:revision>
  <dcterms:created xsi:type="dcterms:W3CDTF">2024-12-03T12:13:00Z</dcterms:created>
  <dcterms:modified xsi:type="dcterms:W3CDTF">2024-12-03T12:13:00Z</dcterms:modified>
</cp:coreProperties>
</file>